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19CC" w14:textId="3EE7413C" w:rsidR="00241A50" w:rsidRDefault="00AA4715" w:rsidP="00AA4715">
      <w:pPr>
        <w:rPr>
          <w:b/>
          <w:bCs/>
        </w:rPr>
      </w:pPr>
      <w:r>
        <w:rPr>
          <w:b/>
          <w:bCs/>
        </w:rPr>
        <w:t>SITUATION UPDATE: Feb. 2, 2026</w:t>
      </w:r>
    </w:p>
    <w:p w14:paraId="40AB3087" w14:textId="77777777" w:rsidR="00AA4715" w:rsidRPr="00AA4715" w:rsidRDefault="00AA4715" w:rsidP="00AA4715">
      <w:pPr>
        <w:jc w:val="center"/>
        <w:rPr>
          <w:b/>
          <w:bCs/>
        </w:rPr>
      </w:pPr>
      <w:r w:rsidRPr="00AA4715">
        <w:rPr>
          <w:b/>
          <w:bCs/>
        </w:rPr>
        <w:t>Delaware Response to Highly Pathogenic Avian Influenza</w:t>
      </w:r>
    </w:p>
    <w:p w14:paraId="02717DFE" w14:textId="47642BBF" w:rsidR="00AA4715" w:rsidRPr="0013525F" w:rsidRDefault="00AA4715" w:rsidP="00AA4715">
      <w:pPr>
        <w:rPr>
          <w:b/>
          <w:bCs/>
          <w:u w:val="single"/>
        </w:rPr>
      </w:pPr>
      <w:r w:rsidRPr="0013525F">
        <w:rPr>
          <w:b/>
          <w:bCs/>
          <w:u w:val="single"/>
        </w:rPr>
        <w:t>U</w:t>
      </w:r>
      <w:r w:rsidR="0013525F" w:rsidRPr="0013525F">
        <w:rPr>
          <w:b/>
          <w:bCs/>
          <w:u w:val="single"/>
        </w:rPr>
        <w:t>pdate</w:t>
      </w:r>
    </w:p>
    <w:p w14:paraId="2A5DCBA2" w14:textId="7C7B7F72" w:rsidR="00AA4715" w:rsidRDefault="00AA4715" w:rsidP="00AA4715">
      <w:r>
        <w:t xml:space="preserve">The control area for the first Delaware commercial poultry operation of the </w:t>
      </w:r>
      <w:r w:rsidRPr="00BF795A">
        <w:rPr>
          <w:b/>
          <w:bCs/>
        </w:rPr>
        <w:t>2025-26 migratory season</w:t>
      </w:r>
      <w:r>
        <w:t xml:space="preserve"> has been officially released. </w:t>
      </w:r>
      <w:r w:rsidRPr="00907EE6">
        <w:t>However, the infected farm remains under quarantine. This means that poultry producers and backyard flock owners of non-infected premises within the 10-kilometer (6.2-mile) radius around the infected flocks are no longer restricted from moving poultry or poultry products off or onto their farms.</w:t>
      </w:r>
      <w:r>
        <w:t xml:space="preserve"> </w:t>
      </w:r>
    </w:p>
    <w:p w14:paraId="36877FC4" w14:textId="24DC1909" w:rsidR="00AA4715" w:rsidRDefault="00AA4715" w:rsidP="00AA4715">
      <w:r>
        <w:t>All poultry farms and backyard flocks on Delmarva should still take precautions and practice strict</w:t>
      </w:r>
      <w:r w:rsidR="0013525F">
        <w:t xml:space="preserve"> </w:t>
      </w:r>
      <w:r>
        <w:t>biosecurity, as the virus load in the wild bird population</w:t>
      </w:r>
      <w:r w:rsidR="0013525F">
        <w:t xml:space="preserve"> </w:t>
      </w:r>
      <w:r>
        <w:t>is exceptionally</w:t>
      </w:r>
      <w:r w:rsidR="0013525F">
        <w:t xml:space="preserve"> </w:t>
      </w:r>
      <w:r>
        <w:t xml:space="preserve">high. </w:t>
      </w:r>
    </w:p>
    <w:p w14:paraId="6467B6C3" w14:textId="77777777" w:rsidR="00AA4715" w:rsidRPr="0013525F" w:rsidRDefault="00AA4715" w:rsidP="00AA4715">
      <w:pPr>
        <w:rPr>
          <w:b/>
          <w:bCs/>
          <w:u w:val="single"/>
        </w:rPr>
      </w:pPr>
      <w:r w:rsidRPr="0013525F">
        <w:rPr>
          <w:b/>
          <w:bCs/>
          <w:u w:val="single"/>
        </w:rPr>
        <w:t xml:space="preserve">What Does it Take to Release a Control Area? </w:t>
      </w:r>
    </w:p>
    <w:p w14:paraId="5DF7BB88" w14:textId="77777777" w:rsidR="00AA4715" w:rsidRDefault="00AA4715" w:rsidP="00AA4715">
      <w:r>
        <w:t xml:space="preserve">The following conditions must be met to release a Control Area: </w:t>
      </w:r>
    </w:p>
    <w:p w14:paraId="03E24719" w14:textId="77777777" w:rsidR="00AA4715" w:rsidRDefault="00AA4715" w:rsidP="00AA4715">
      <w:r>
        <w:t>• The infected flock has been depopulated, and the compost piles must be capped.</w:t>
      </w:r>
    </w:p>
    <w:p w14:paraId="1ACE32C5" w14:textId="77777777" w:rsidR="00AA4715" w:rsidRDefault="00AA4715" w:rsidP="00AA4715">
      <w:r>
        <w:t>• Initial virus elimination must be completed for the infected premises.</w:t>
      </w:r>
    </w:p>
    <w:p w14:paraId="737E7B3E" w14:textId="77777777" w:rsidR="00AA4715" w:rsidRDefault="00AA4715" w:rsidP="00AA4715">
      <w:r>
        <w:t xml:space="preserve">• Required surveillance testing for commercial and backyard flocks must be completed. </w:t>
      </w:r>
    </w:p>
    <w:p w14:paraId="2462D42E" w14:textId="5A77AE8F" w:rsidR="00AA4715" w:rsidRDefault="00AA4715" w:rsidP="00AA4715">
      <w:r>
        <w:t xml:space="preserve">Routine surveillance will continue throughout the state. </w:t>
      </w:r>
    </w:p>
    <w:p w14:paraId="7E72BDC0" w14:textId="469AC6DA" w:rsidR="00AA4715" w:rsidRPr="0013525F" w:rsidRDefault="00AA4715" w:rsidP="00AA4715">
      <w:pPr>
        <w:rPr>
          <w:b/>
          <w:bCs/>
          <w:u w:val="single"/>
        </w:rPr>
      </w:pPr>
      <w:r w:rsidRPr="0013525F">
        <w:rPr>
          <w:b/>
          <w:bCs/>
          <w:u w:val="single"/>
        </w:rPr>
        <w:t>B</w:t>
      </w:r>
      <w:r w:rsidR="0013525F" w:rsidRPr="0013525F">
        <w:rPr>
          <w:b/>
          <w:bCs/>
          <w:u w:val="single"/>
        </w:rPr>
        <w:t>ackground</w:t>
      </w:r>
    </w:p>
    <w:p w14:paraId="2A5783EF" w14:textId="59AB7E7C" w:rsidR="00AA4715" w:rsidRDefault="00AA4715" w:rsidP="00AA4715">
      <w:r>
        <w:t>Avian influenza is a highly contagious airborne respiratory virus that spreads quickly among birds</w:t>
      </w:r>
      <w:r w:rsidR="0013525F">
        <w:t xml:space="preserve"> </w:t>
      </w:r>
      <w:r>
        <w:t>through nasal and eye secretions and manure. The virus can be spread from flock to flock, including</w:t>
      </w:r>
      <w:r w:rsidR="0013525F">
        <w:t xml:space="preserve"> </w:t>
      </w:r>
      <w:r>
        <w:t>flocks of wild birds, through contact with infected poultry, equipment, and the clothing and shoes of</w:t>
      </w:r>
      <w:r w:rsidR="0013525F">
        <w:t xml:space="preserve"> </w:t>
      </w:r>
      <w:r>
        <w:t>caretakers. This virus affects poultry, like chickens, duck</w:t>
      </w:r>
      <w:r w:rsidR="0013525F">
        <w:t>s</w:t>
      </w:r>
      <w:r>
        <w:t xml:space="preserve"> and turkeys, and some wild bird species</w:t>
      </w:r>
      <w:r w:rsidR="0013525F">
        <w:t xml:space="preserve">, </w:t>
      </w:r>
      <w:r>
        <w:t>such as ducks, geese, shorebirds, and raptors.</w:t>
      </w:r>
    </w:p>
    <w:p w14:paraId="084E3ED2" w14:textId="77777777" w:rsidR="00512552" w:rsidRDefault="00AA4715" w:rsidP="00AA4715">
      <w:r>
        <w:t xml:space="preserve">On </w:t>
      </w:r>
      <w:r w:rsidRPr="00512552">
        <w:rPr>
          <w:b/>
          <w:bCs/>
        </w:rPr>
        <w:t>Jan</w:t>
      </w:r>
      <w:r w:rsidR="00512552" w:rsidRPr="00512552">
        <w:rPr>
          <w:b/>
          <w:bCs/>
        </w:rPr>
        <w:t>. 10</w:t>
      </w:r>
      <w:r w:rsidRPr="00512552">
        <w:rPr>
          <w:b/>
          <w:bCs/>
        </w:rPr>
        <w:t>, 202</w:t>
      </w:r>
      <w:r w:rsidR="00512552" w:rsidRPr="00512552">
        <w:rPr>
          <w:b/>
          <w:bCs/>
        </w:rPr>
        <w:t>6</w:t>
      </w:r>
      <w:r>
        <w:t xml:space="preserve">, the Delaware Department of Agriculture </w:t>
      </w:r>
      <w:r w:rsidR="00512552">
        <w:t xml:space="preserve">announced </w:t>
      </w:r>
      <w:hyperlink r:id="rId8" w:history="1">
        <w:r w:rsidR="00512552">
          <w:rPr>
            <w:rStyle w:val="Hyperlink"/>
          </w:rPr>
          <w:t xml:space="preserve">Delaware announces presumptive positive avian influenza case in Kent County commercial flock </w:t>
        </w:r>
      </w:hyperlink>
      <w:r>
        <w:t xml:space="preserve"> </w:t>
      </w:r>
    </w:p>
    <w:p w14:paraId="37894CA7" w14:textId="3BA20913" w:rsidR="00AA4715" w:rsidRPr="00402CFB" w:rsidRDefault="00AA4715" w:rsidP="00AA4715">
      <w:pPr>
        <w:rPr>
          <w:b/>
          <w:bCs/>
          <w:u w:val="single"/>
        </w:rPr>
      </w:pPr>
      <w:r w:rsidRPr="00402CFB">
        <w:rPr>
          <w:b/>
          <w:bCs/>
          <w:u w:val="single"/>
        </w:rPr>
        <w:lastRenderedPageBreak/>
        <w:t>I</w:t>
      </w:r>
      <w:r w:rsidR="00402CFB" w:rsidRPr="00402CFB">
        <w:rPr>
          <w:b/>
          <w:bCs/>
          <w:u w:val="single"/>
        </w:rPr>
        <w:t>f You Have Sick Poultry or Increased Mortality</w:t>
      </w:r>
    </w:p>
    <w:p w14:paraId="433C36B3" w14:textId="49ECE51B" w:rsidR="00AA4715" w:rsidRDefault="00AA4715" w:rsidP="00AA4715">
      <w:r>
        <w:t>• Commercial poultry producers should notify the company they grow for when they notice signs</w:t>
      </w:r>
      <w:r w:rsidR="00512552">
        <w:t xml:space="preserve"> </w:t>
      </w:r>
      <w:r>
        <w:t>of disease.</w:t>
      </w:r>
    </w:p>
    <w:p w14:paraId="4CEB2AC4" w14:textId="396658B8" w:rsidR="00AA4715" w:rsidRDefault="00AA4715" w:rsidP="00AA4715">
      <w:r>
        <w:t xml:space="preserve">• Delaware backyard flock owners who notice any of the signs of HPAI in their flock should email the Delaware Poultry Health Hotline at </w:t>
      </w:r>
      <w:hyperlink r:id="rId9" w:history="1">
        <w:r w:rsidRPr="00402CFB">
          <w:rPr>
            <w:rStyle w:val="Hyperlink"/>
          </w:rPr>
          <w:t>poultry.health@delaware.gov</w:t>
        </w:r>
      </w:hyperlink>
      <w:r>
        <w:t xml:space="preserve"> or call </w:t>
      </w:r>
      <w:r w:rsidRPr="00402CFB">
        <w:rPr>
          <w:b/>
          <w:bCs/>
        </w:rPr>
        <w:t>302-698-4507</w:t>
      </w:r>
      <w:r>
        <w:t xml:space="preserve"> and provide your contact information, size of flock, location, and concerns. Do not take dead or sick birds to a lab to be tested to move them off-site</w:t>
      </w:r>
    </w:p>
    <w:p w14:paraId="765F1A9F" w14:textId="0BD122FC" w:rsidR="00A71891" w:rsidRPr="005342F8" w:rsidRDefault="00A71891" w:rsidP="00A71891">
      <w:r>
        <w:br/>
      </w:r>
    </w:p>
    <w:sectPr w:rsidR="00A71891" w:rsidRPr="005342F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572F7" w14:textId="77777777" w:rsidR="00CD6358" w:rsidRDefault="00CD6358" w:rsidP="00CD6358">
      <w:pPr>
        <w:spacing w:after="0" w:line="240" w:lineRule="auto"/>
      </w:pPr>
      <w:r>
        <w:separator/>
      </w:r>
    </w:p>
  </w:endnote>
  <w:endnote w:type="continuationSeparator" w:id="0">
    <w:p w14:paraId="08696059" w14:textId="77777777" w:rsidR="00CD6358" w:rsidRDefault="00CD6358" w:rsidP="00CD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DAC7" w14:textId="77777777" w:rsidR="00CD6358" w:rsidRDefault="00CD6358" w:rsidP="00CD6358">
      <w:pPr>
        <w:spacing w:after="0" w:line="240" w:lineRule="auto"/>
      </w:pPr>
      <w:r>
        <w:separator/>
      </w:r>
    </w:p>
  </w:footnote>
  <w:footnote w:type="continuationSeparator" w:id="0">
    <w:p w14:paraId="0600906D" w14:textId="77777777" w:rsidR="00CD6358" w:rsidRDefault="00CD6358" w:rsidP="00CD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0"/>
      <w:gridCol w:w="3540"/>
      <w:gridCol w:w="3540"/>
    </w:tblGrid>
    <w:tr w:rsidR="00742404" w:rsidRPr="000C04AD" w14:paraId="539EA419" w14:textId="77777777" w:rsidTr="00B24FCB">
      <w:tc>
        <w:tcPr>
          <w:tcW w:w="3540" w:type="dxa"/>
        </w:tcPr>
        <w:p w14:paraId="4C15482A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</w:pPr>
        </w:p>
      </w:tc>
      <w:tc>
        <w:tcPr>
          <w:tcW w:w="3540" w:type="dxa"/>
          <w:hideMark/>
        </w:tcPr>
        <w:p w14:paraId="677E4EBE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center"/>
          </w:pPr>
          <w:r w:rsidRPr="000C04AD">
            <w:rPr>
              <w:noProof/>
            </w:rPr>
            <w:drawing>
              <wp:inline distT="0" distB="0" distL="0" distR="0" wp14:anchorId="78B509DF" wp14:editId="5448B502">
                <wp:extent cx="884555" cy="848995"/>
                <wp:effectExtent l="0" t="0" r="0" b="8255"/>
                <wp:docPr id="7" name="Picture 1" descr="A picture containing armor, ceramic ware, helme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 descr="A picture containing armor, ceramic ware, helme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55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0" w:type="dxa"/>
        </w:tcPr>
        <w:p w14:paraId="739FC6E8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</w:pPr>
        </w:p>
      </w:tc>
    </w:tr>
    <w:tr w:rsidR="00742404" w:rsidRPr="000C04AD" w14:paraId="785F045D" w14:textId="77777777" w:rsidTr="00B24FCB">
      <w:trPr>
        <w:trHeight w:val="518"/>
      </w:trPr>
      <w:tc>
        <w:tcPr>
          <w:tcW w:w="3540" w:type="dxa"/>
          <w:vAlign w:val="center"/>
        </w:tcPr>
        <w:p w14:paraId="080A29A1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</w:p>
      </w:tc>
      <w:tc>
        <w:tcPr>
          <w:tcW w:w="3540" w:type="dxa"/>
          <w:vMerge w:val="restart"/>
          <w:vAlign w:val="center"/>
          <w:hideMark/>
        </w:tcPr>
        <w:p w14:paraId="08EBB11A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center"/>
            <w:rPr>
              <w:color w:val="003399"/>
              <w:sz w:val="16"/>
              <w:szCs w:val="16"/>
            </w:rPr>
          </w:pPr>
          <w:r w:rsidRPr="000C04AD">
            <w:rPr>
              <w:color w:val="003399"/>
              <w:sz w:val="20"/>
              <w:szCs w:val="20"/>
            </w:rPr>
            <w:t>S</w:t>
          </w:r>
          <w:r w:rsidRPr="000C04AD">
            <w:rPr>
              <w:color w:val="003399"/>
              <w:sz w:val="16"/>
              <w:szCs w:val="16"/>
            </w:rPr>
            <w:t>TATE</w:t>
          </w:r>
          <w:r w:rsidRPr="000C04AD">
            <w:rPr>
              <w:color w:val="003399"/>
              <w:sz w:val="20"/>
              <w:szCs w:val="20"/>
            </w:rPr>
            <w:t xml:space="preserve"> </w:t>
          </w:r>
          <w:r w:rsidRPr="000C04AD">
            <w:rPr>
              <w:color w:val="003399"/>
              <w:sz w:val="16"/>
              <w:szCs w:val="16"/>
            </w:rPr>
            <w:t>OF</w:t>
          </w:r>
          <w:r w:rsidRPr="000C04AD">
            <w:rPr>
              <w:color w:val="003399"/>
              <w:sz w:val="20"/>
              <w:szCs w:val="20"/>
            </w:rPr>
            <w:t xml:space="preserve"> D</w:t>
          </w:r>
          <w:r w:rsidRPr="000C04AD">
            <w:rPr>
              <w:color w:val="003399"/>
              <w:sz w:val="16"/>
              <w:szCs w:val="16"/>
            </w:rPr>
            <w:t>ELAWARE</w:t>
          </w:r>
        </w:p>
        <w:p w14:paraId="54F5DAFB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center"/>
            <w:rPr>
              <w:color w:val="003399"/>
              <w:sz w:val="18"/>
              <w:szCs w:val="18"/>
            </w:rPr>
          </w:pPr>
          <w:r w:rsidRPr="000C04AD">
            <w:rPr>
              <w:b/>
              <w:bCs/>
              <w:color w:val="003399"/>
            </w:rPr>
            <w:t>D</w:t>
          </w:r>
          <w:r w:rsidRPr="000C04AD">
            <w:rPr>
              <w:b/>
              <w:bCs/>
              <w:color w:val="003399"/>
              <w:sz w:val="20"/>
              <w:szCs w:val="20"/>
            </w:rPr>
            <w:t>EPARTMENT</w:t>
          </w:r>
          <w:r w:rsidRPr="000C04AD">
            <w:rPr>
              <w:b/>
              <w:bCs/>
              <w:color w:val="003399"/>
            </w:rPr>
            <w:t xml:space="preserve"> </w:t>
          </w:r>
          <w:r w:rsidRPr="000C04AD">
            <w:rPr>
              <w:b/>
              <w:bCs/>
              <w:color w:val="003399"/>
              <w:sz w:val="20"/>
              <w:szCs w:val="20"/>
            </w:rPr>
            <w:t>OF</w:t>
          </w:r>
          <w:r w:rsidRPr="000C04AD">
            <w:rPr>
              <w:b/>
              <w:bCs/>
              <w:color w:val="003399"/>
            </w:rPr>
            <w:t xml:space="preserve"> A</w:t>
          </w:r>
          <w:r w:rsidRPr="000C04AD">
            <w:rPr>
              <w:b/>
              <w:bCs/>
              <w:color w:val="003399"/>
              <w:sz w:val="20"/>
              <w:szCs w:val="20"/>
            </w:rPr>
            <w:t>GRICULTURE</w:t>
          </w:r>
          <w:r w:rsidRPr="000C04AD">
            <w:rPr>
              <w:b/>
              <w:bCs/>
              <w:color w:val="003399"/>
              <w:sz w:val="18"/>
              <w:szCs w:val="18"/>
            </w:rPr>
            <w:br/>
          </w:r>
          <w:r w:rsidRPr="000C04AD">
            <w:rPr>
              <w:color w:val="003399"/>
              <w:sz w:val="18"/>
              <w:szCs w:val="18"/>
            </w:rPr>
            <w:t>2320 SOUTH DUPONT HIGHWAY</w:t>
          </w:r>
        </w:p>
        <w:p w14:paraId="76DEB349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center"/>
            <w:rPr>
              <w:color w:val="003399"/>
              <w:sz w:val="18"/>
              <w:szCs w:val="18"/>
            </w:rPr>
          </w:pPr>
          <w:r w:rsidRPr="000C04AD">
            <w:rPr>
              <w:color w:val="003399"/>
              <w:sz w:val="20"/>
              <w:szCs w:val="20"/>
            </w:rPr>
            <w:t>D</w:t>
          </w:r>
          <w:r w:rsidRPr="000C04AD">
            <w:rPr>
              <w:color w:val="003399"/>
              <w:sz w:val="16"/>
              <w:szCs w:val="16"/>
            </w:rPr>
            <w:t xml:space="preserve">OVER, </w:t>
          </w:r>
          <w:r w:rsidRPr="000C04AD">
            <w:rPr>
              <w:color w:val="003399"/>
              <w:sz w:val="20"/>
              <w:szCs w:val="20"/>
            </w:rPr>
            <w:t>D</w:t>
          </w:r>
          <w:r w:rsidRPr="000C04AD">
            <w:rPr>
              <w:color w:val="003399"/>
              <w:sz w:val="16"/>
              <w:szCs w:val="16"/>
            </w:rPr>
            <w:t xml:space="preserve">ELAWARE </w:t>
          </w:r>
          <w:r w:rsidRPr="000C04AD">
            <w:rPr>
              <w:color w:val="003399"/>
              <w:sz w:val="20"/>
              <w:szCs w:val="20"/>
            </w:rPr>
            <w:t>19901</w:t>
          </w:r>
        </w:p>
        <w:p w14:paraId="5890EB22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center"/>
            <w:rPr>
              <w:sz w:val="18"/>
              <w:szCs w:val="18"/>
            </w:rPr>
          </w:pPr>
          <w:r w:rsidRPr="000C04AD">
            <w:rPr>
              <w:color w:val="003399"/>
              <w:sz w:val="18"/>
              <w:szCs w:val="18"/>
            </w:rPr>
            <w:t>AGRICULTURE.DELAWARE.GOV</w:t>
          </w:r>
        </w:p>
      </w:tc>
      <w:tc>
        <w:tcPr>
          <w:tcW w:w="3540" w:type="dxa"/>
          <w:vAlign w:val="center"/>
        </w:tcPr>
        <w:p w14:paraId="4A995BAE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right"/>
          </w:pPr>
        </w:p>
      </w:tc>
    </w:tr>
    <w:tr w:rsidR="00742404" w:rsidRPr="000C04AD" w14:paraId="4DB9FE39" w14:textId="77777777" w:rsidTr="00B24FCB">
      <w:trPr>
        <w:trHeight w:val="518"/>
      </w:trPr>
      <w:tc>
        <w:tcPr>
          <w:tcW w:w="3540" w:type="dxa"/>
          <w:hideMark/>
        </w:tcPr>
        <w:p w14:paraId="70376209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rPr>
              <w:color w:val="003399"/>
              <w:sz w:val="18"/>
              <w:szCs w:val="18"/>
            </w:rPr>
          </w:pPr>
          <w:r w:rsidRPr="000C04AD">
            <w:rPr>
              <w:color w:val="003399"/>
              <w:sz w:val="20"/>
              <w:szCs w:val="20"/>
            </w:rPr>
            <w:t>W</w:t>
          </w:r>
          <w:r w:rsidRPr="000C04AD">
            <w:rPr>
              <w:color w:val="003399"/>
              <w:sz w:val="16"/>
              <w:szCs w:val="16"/>
            </w:rPr>
            <w:t>M.</w:t>
          </w:r>
          <w:r w:rsidRPr="000C04AD">
            <w:rPr>
              <w:color w:val="003399"/>
              <w:sz w:val="18"/>
              <w:szCs w:val="18"/>
            </w:rPr>
            <w:t xml:space="preserve"> </w:t>
          </w:r>
          <w:r w:rsidRPr="000C04AD">
            <w:rPr>
              <w:color w:val="003399"/>
              <w:sz w:val="20"/>
              <w:szCs w:val="20"/>
            </w:rPr>
            <w:t>D</w:t>
          </w:r>
          <w:r w:rsidRPr="000C04AD">
            <w:rPr>
              <w:color w:val="003399"/>
              <w:sz w:val="16"/>
              <w:szCs w:val="16"/>
            </w:rPr>
            <w:t>ONALD</w:t>
          </w:r>
          <w:r w:rsidRPr="000C04AD">
            <w:rPr>
              <w:color w:val="003399"/>
              <w:sz w:val="18"/>
              <w:szCs w:val="18"/>
            </w:rPr>
            <w:t xml:space="preserve"> </w:t>
          </w:r>
          <w:r w:rsidRPr="000C04AD">
            <w:rPr>
              <w:color w:val="003399"/>
              <w:sz w:val="20"/>
              <w:szCs w:val="20"/>
            </w:rPr>
            <w:t>C</w:t>
          </w:r>
          <w:r w:rsidRPr="000C04AD">
            <w:rPr>
              <w:color w:val="003399"/>
              <w:sz w:val="16"/>
              <w:szCs w:val="16"/>
            </w:rPr>
            <w:t>LIFTON,</w:t>
          </w:r>
          <w:r w:rsidRPr="000C04AD">
            <w:rPr>
              <w:color w:val="003399"/>
              <w:sz w:val="18"/>
              <w:szCs w:val="18"/>
            </w:rPr>
            <w:t xml:space="preserve"> </w:t>
          </w:r>
          <w:r w:rsidRPr="000C04AD">
            <w:rPr>
              <w:color w:val="003399"/>
              <w:sz w:val="20"/>
              <w:szCs w:val="20"/>
            </w:rPr>
            <w:t>II</w:t>
          </w:r>
        </w:p>
        <w:p w14:paraId="17B8F606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spacing w:line="276" w:lineRule="auto"/>
            <w:rPr>
              <w:color w:val="003399"/>
              <w:sz w:val="16"/>
              <w:szCs w:val="16"/>
            </w:rPr>
          </w:pPr>
          <w:r w:rsidRPr="000C04AD">
            <w:rPr>
              <w:color w:val="003399"/>
              <w:sz w:val="16"/>
              <w:szCs w:val="16"/>
            </w:rPr>
            <w:t>SECRETARY</w:t>
          </w:r>
        </w:p>
        <w:p w14:paraId="2DC2F64F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spacing w:line="276" w:lineRule="auto"/>
            <w:rPr>
              <w:color w:val="003399"/>
              <w:sz w:val="16"/>
              <w:szCs w:val="16"/>
            </w:rPr>
          </w:pPr>
          <w:r w:rsidRPr="000C04AD">
            <w:rPr>
              <w:color w:val="003399"/>
              <w:sz w:val="20"/>
              <w:szCs w:val="20"/>
            </w:rPr>
            <w:t>J</w:t>
          </w:r>
          <w:r w:rsidRPr="000C04AD">
            <w:rPr>
              <w:color w:val="003399"/>
              <w:sz w:val="16"/>
              <w:szCs w:val="16"/>
            </w:rPr>
            <w:t xml:space="preserve">IMMY </w:t>
          </w:r>
          <w:r w:rsidRPr="000C04AD">
            <w:rPr>
              <w:color w:val="003399"/>
              <w:sz w:val="20"/>
              <w:szCs w:val="20"/>
            </w:rPr>
            <w:t>K</w:t>
          </w:r>
          <w:r w:rsidRPr="000C04AD">
            <w:rPr>
              <w:color w:val="003399"/>
              <w:sz w:val="16"/>
              <w:szCs w:val="16"/>
            </w:rPr>
            <w:t>ROON</w:t>
          </w:r>
          <w:r w:rsidRPr="000C04AD">
            <w:rPr>
              <w:color w:val="003399"/>
              <w:sz w:val="16"/>
              <w:szCs w:val="16"/>
            </w:rPr>
            <w:br/>
            <w:t>DEPUTY SECRETARY</w:t>
          </w:r>
        </w:p>
      </w:tc>
      <w:tc>
        <w:tcPr>
          <w:tcW w:w="0" w:type="auto"/>
          <w:vMerge/>
          <w:vAlign w:val="center"/>
          <w:hideMark/>
        </w:tcPr>
        <w:p w14:paraId="2B6FFC08" w14:textId="77777777" w:rsidR="00742404" w:rsidRPr="000C04AD" w:rsidRDefault="00742404" w:rsidP="00742404">
          <w:pPr>
            <w:rPr>
              <w:sz w:val="18"/>
              <w:szCs w:val="18"/>
            </w:rPr>
          </w:pPr>
        </w:p>
      </w:tc>
      <w:tc>
        <w:tcPr>
          <w:tcW w:w="3540" w:type="dxa"/>
          <w:vAlign w:val="center"/>
          <w:hideMark/>
        </w:tcPr>
        <w:p w14:paraId="022495C1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right"/>
            <w:rPr>
              <w:color w:val="003399"/>
              <w:sz w:val="20"/>
              <w:szCs w:val="20"/>
            </w:rPr>
          </w:pPr>
          <w:r w:rsidRPr="000C04AD">
            <w:rPr>
              <w:color w:val="003399"/>
              <w:sz w:val="20"/>
              <w:szCs w:val="20"/>
            </w:rPr>
            <w:t>TELEPHONE: (302) 698-4500</w:t>
          </w:r>
        </w:p>
        <w:p w14:paraId="5091AE3B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right"/>
            <w:rPr>
              <w:color w:val="003399"/>
              <w:sz w:val="18"/>
              <w:szCs w:val="18"/>
            </w:rPr>
          </w:pPr>
          <w:r w:rsidRPr="000C04AD">
            <w:rPr>
              <w:color w:val="003399"/>
              <w:sz w:val="18"/>
              <w:szCs w:val="18"/>
            </w:rPr>
            <w:t>TOLL FREE: (800) 282-8685</w:t>
          </w:r>
        </w:p>
        <w:p w14:paraId="7FD5F236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right"/>
            <w:rPr>
              <w:color w:val="003399"/>
              <w:sz w:val="20"/>
              <w:szCs w:val="20"/>
            </w:rPr>
          </w:pPr>
          <w:r w:rsidRPr="000C04AD">
            <w:rPr>
              <w:color w:val="003399"/>
              <w:sz w:val="18"/>
              <w:szCs w:val="18"/>
            </w:rPr>
            <w:t>FAX: (302) 697-6287</w:t>
          </w:r>
        </w:p>
      </w:tc>
    </w:tr>
  </w:tbl>
  <w:p w14:paraId="735AAD3E" w14:textId="77777777" w:rsidR="00742404" w:rsidRDefault="00742404" w:rsidP="00742404">
    <w:pPr>
      <w:pStyle w:val="Header"/>
    </w:pPr>
  </w:p>
  <w:p w14:paraId="1445E925" w14:textId="77777777" w:rsidR="00CD6358" w:rsidRDefault="00CD6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7D3F"/>
    <w:multiLevelType w:val="hybridMultilevel"/>
    <w:tmpl w:val="FD24FD34"/>
    <w:lvl w:ilvl="0" w:tplc="BD726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B4150"/>
    <w:multiLevelType w:val="hybridMultilevel"/>
    <w:tmpl w:val="D0248868"/>
    <w:lvl w:ilvl="0" w:tplc="BED2F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7932">
    <w:abstractNumId w:val="1"/>
  </w:num>
  <w:num w:numId="2" w16cid:durableId="147942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36"/>
    <w:rsid w:val="000E3361"/>
    <w:rsid w:val="0013525F"/>
    <w:rsid w:val="001E60BF"/>
    <w:rsid w:val="00206434"/>
    <w:rsid w:val="00241A50"/>
    <w:rsid w:val="00371990"/>
    <w:rsid w:val="0037485A"/>
    <w:rsid w:val="00382F8F"/>
    <w:rsid w:val="00402CFB"/>
    <w:rsid w:val="004E23C5"/>
    <w:rsid w:val="00512552"/>
    <w:rsid w:val="005342F8"/>
    <w:rsid w:val="00550EB9"/>
    <w:rsid w:val="00554182"/>
    <w:rsid w:val="005D3000"/>
    <w:rsid w:val="005F78E7"/>
    <w:rsid w:val="006032D6"/>
    <w:rsid w:val="006A7493"/>
    <w:rsid w:val="00742404"/>
    <w:rsid w:val="00743873"/>
    <w:rsid w:val="0079222E"/>
    <w:rsid w:val="007E6C0E"/>
    <w:rsid w:val="00830C1D"/>
    <w:rsid w:val="008E1136"/>
    <w:rsid w:val="00907EE6"/>
    <w:rsid w:val="009767CD"/>
    <w:rsid w:val="00A64E8A"/>
    <w:rsid w:val="00A71891"/>
    <w:rsid w:val="00AA4715"/>
    <w:rsid w:val="00BC654C"/>
    <w:rsid w:val="00BE768F"/>
    <w:rsid w:val="00BF795A"/>
    <w:rsid w:val="00BF7D18"/>
    <w:rsid w:val="00C24601"/>
    <w:rsid w:val="00CA000C"/>
    <w:rsid w:val="00CD6358"/>
    <w:rsid w:val="00D37854"/>
    <w:rsid w:val="00DA3403"/>
    <w:rsid w:val="00DE41A3"/>
    <w:rsid w:val="00EC1C29"/>
    <w:rsid w:val="00F1523D"/>
    <w:rsid w:val="00F83EC3"/>
    <w:rsid w:val="00FD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B15B"/>
  <w15:chartTrackingRefBased/>
  <w15:docId w15:val="{E9FE2239-7A36-4D55-B1A5-3027503C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58"/>
  </w:style>
  <w:style w:type="paragraph" w:styleId="Footer">
    <w:name w:val="footer"/>
    <w:basedOn w:val="Normal"/>
    <w:link w:val="FooterChar"/>
    <w:uiPriority w:val="99"/>
    <w:unhideWhenUsed/>
    <w:rsid w:val="00CD6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58"/>
  </w:style>
  <w:style w:type="table" w:styleId="TableGrid">
    <w:name w:val="Table Grid"/>
    <w:basedOn w:val="TableNormal"/>
    <w:uiPriority w:val="39"/>
    <w:rsid w:val="00742404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55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delaware.gov/2026/01/10/delaware-announces-presumptive-positive-avian-influenza-case-in-kent-county-commercial-floc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poultry.health@delaware.gov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3F423-6AA3-4DF2-8092-862F40AD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Michael (DDA)</dc:creator>
  <cp:keywords/>
  <dc:description/>
  <cp:lastModifiedBy>Lewis, Michael (DDA)</cp:lastModifiedBy>
  <cp:revision>70</cp:revision>
  <dcterms:created xsi:type="dcterms:W3CDTF">2026-01-28T18:46:00Z</dcterms:created>
  <dcterms:modified xsi:type="dcterms:W3CDTF">2026-02-02T17:47:00Z</dcterms:modified>
</cp:coreProperties>
</file>